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79" w:rsidRDefault="00581879" w:rsidP="005818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О РАБОТЕ НАД РЕФЕРАТОМ</w:t>
      </w:r>
    </w:p>
    <w:p w:rsidR="00581879" w:rsidRDefault="00581879" w:rsidP="00581879">
      <w:pPr>
        <w:widowControl w:val="0"/>
        <w:autoSpaceDE w:val="0"/>
        <w:autoSpaceDN w:val="0"/>
        <w:adjustRightInd w:val="0"/>
        <w:ind w:firstLine="460"/>
        <w:rPr>
          <w:rFonts w:ascii="Times New Roman CYR" w:hAnsi="Times New Roman CYR" w:cs="Times New Roman CYR"/>
          <w:sz w:val="28"/>
          <w:szCs w:val="28"/>
        </w:rPr>
      </w:pPr>
    </w:p>
    <w:p w:rsidR="00581879" w:rsidRDefault="00581879" w:rsidP="00581879">
      <w:pPr>
        <w:widowControl w:val="0"/>
        <w:autoSpaceDE w:val="0"/>
        <w:autoSpaceDN w:val="0"/>
        <w:adjustRightInd w:val="0"/>
        <w:ind w:firstLine="4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Реферат является самостоятельной учебно-научной философско-методологической работой, к которой относится в полной мере весь комплекс требований, предъявляемых к научной статье, подготавливаемой к публикации.</w:t>
      </w:r>
    </w:p>
    <w:p w:rsidR="00581879" w:rsidRDefault="00581879" w:rsidP="00581879">
      <w:pPr>
        <w:widowControl w:val="0"/>
        <w:autoSpaceDE w:val="0"/>
        <w:autoSpaceDN w:val="0"/>
        <w:adjustRightInd w:val="0"/>
        <w:ind w:firstLine="4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над рефератом предполагает углубленное изучение, анализ и систематическое изложение избранной историко-научной проблематики, разностороннюю оценку ее содержания и зна</w:t>
      </w:r>
      <w:r>
        <w:rPr>
          <w:rFonts w:ascii="Times New Roman CYR" w:hAnsi="Times New Roman CYR" w:cs="Times New Roman CYR"/>
          <w:sz w:val="28"/>
          <w:szCs w:val="28"/>
        </w:rPr>
        <w:softHyphen/>
        <w:t>чения. Т.е. реферат должен быть написан на уровне критиче</w:t>
      </w:r>
      <w:r>
        <w:rPr>
          <w:rFonts w:ascii="Times New Roman CYR" w:hAnsi="Times New Roman CYR" w:cs="Times New Roman CYR"/>
          <w:sz w:val="28"/>
          <w:szCs w:val="28"/>
        </w:rPr>
        <w:softHyphen/>
        <w:t>ского научно-аналитического обзора с четко выраженным ав</w:t>
      </w:r>
      <w:r>
        <w:rPr>
          <w:rFonts w:ascii="Times New Roman CYR" w:hAnsi="Times New Roman CYR" w:cs="Times New Roman CYR"/>
          <w:sz w:val="28"/>
          <w:szCs w:val="28"/>
        </w:rPr>
        <w:softHyphen/>
        <w:t>торским отношением к рассматриваемым проблемам, иде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ям, результатам и выводам. </w:t>
      </w:r>
    </w:p>
    <w:p w:rsidR="00581879" w:rsidRDefault="00581879" w:rsidP="00581879">
      <w:pPr>
        <w:widowControl w:val="0"/>
        <w:autoSpaceDE w:val="0"/>
        <w:autoSpaceDN w:val="0"/>
        <w:adjustRightInd w:val="0"/>
        <w:ind w:firstLine="46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Важное значение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имеет оформление и общая структура реферата.</w:t>
      </w:r>
    </w:p>
    <w:p w:rsidR="00581879" w:rsidRDefault="00581879" w:rsidP="005818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1879" w:rsidRDefault="00581879" w:rsidP="0058187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1-</w:t>
      </w:r>
      <w:r>
        <w:rPr>
          <w:rFonts w:ascii="Times New Roman CYR" w:hAnsi="Times New Roman CYR" w:cs="Times New Roman CYR"/>
          <w:sz w:val="28"/>
          <w:szCs w:val="28"/>
        </w:rPr>
        <w:t>я стр. – титульный лист;</w:t>
      </w:r>
    </w:p>
    <w:p w:rsidR="00581879" w:rsidRDefault="00581879" w:rsidP="0058187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2-я стр. – план (оглавление, содержание) с указанием страниц;</w:t>
      </w:r>
    </w:p>
    <w:p w:rsidR="00581879" w:rsidRDefault="00581879" w:rsidP="0058187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3-я стр. – введение;</w:t>
      </w:r>
    </w:p>
    <w:p w:rsidR="00581879" w:rsidRDefault="00581879" w:rsidP="0058187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предпоследняя страница – заключение;</w:t>
      </w:r>
    </w:p>
    <w:p w:rsidR="00581879" w:rsidRDefault="00581879" w:rsidP="0058187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последняя страница – литература.</w:t>
      </w:r>
    </w:p>
    <w:p w:rsidR="00581879" w:rsidRDefault="00581879" w:rsidP="00581879">
      <w:pPr>
        <w:widowControl w:val="0"/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1879" w:rsidRDefault="00581879" w:rsidP="00581879">
      <w:pPr>
        <w:widowControl w:val="0"/>
        <w:autoSpaceDE w:val="0"/>
        <w:autoSpaceDN w:val="0"/>
        <w:adjustRightInd w:val="0"/>
        <w:ind w:firstLine="4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объем реферата в пределах одного печатного листа, т.е.  15 - 20 страниц машинопис</w:t>
      </w:r>
      <w:r>
        <w:rPr>
          <w:rFonts w:ascii="Times New Roman CYR" w:hAnsi="Times New Roman CYR" w:cs="Times New Roman CYR"/>
          <w:sz w:val="28"/>
          <w:szCs w:val="28"/>
        </w:rPr>
        <w:softHyphen/>
        <w:t>ного текста (интервал полуторный, кегль 14).</w:t>
      </w:r>
    </w:p>
    <w:p w:rsidR="00581879" w:rsidRDefault="00581879" w:rsidP="00581879">
      <w:pPr>
        <w:widowControl w:val="0"/>
        <w:autoSpaceDE w:val="0"/>
        <w:autoSpaceDN w:val="0"/>
        <w:adjustRightInd w:val="0"/>
        <w:ind w:left="4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Реферат должен иметь краткое введение, в котором дается постановка вопроса, обоснование выбора темы, ее общая зна</w:t>
      </w:r>
      <w:r>
        <w:rPr>
          <w:rFonts w:ascii="Times New Roman CYR" w:hAnsi="Times New Roman CYR" w:cs="Times New Roman CYR"/>
          <w:sz w:val="28"/>
          <w:szCs w:val="28"/>
        </w:rPr>
        <w:softHyphen/>
        <w:t>чимость, проблематика, степень разработанности, задачи ис</w:t>
      </w:r>
      <w:r>
        <w:rPr>
          <w:rFonts w:ascii="Times New Roman CYR" w:hAnsi="Times New Roman CYR" w:cs="Times New Roman CYR"/>
          <w:sz w:val="28"/>
          <w:szCs w:val="28"/>
        </w:rPr>
        <w:softHyphen/>
        <w:t>следования и т.п. Изложение содержания реферата целесооб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разно разделить на параграфы для логической организации и удобства обозрения. Реферат должен быть написан четким, ясным, литературно грамотным языком, изложение должно удовлетворять основным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логическим требованиям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определен</w:t>
      </w:r>
      <w:r>
        <w:rPr>
          <w:rFonts w:ascii="Times New Roman CYR" w:hAnsi="Times New Roman CYR" w:cs="Times New Roman CYR"/>
          <w:sz w:val="28"/>
          <w:szCs w:val="28"/>
        </w:rPr>
        <w:softHyphen/>
        <w:t>ности, последовательности, доказательности. Ключевые поня</w:t>
      </w:r>
      <w:r>
        <w:rPr>
          <w:rFonts w:ascii="Times New Roman CYR" w:hAnsi="Times New Roman CYR" w:cs="Times New Roman CYR"/>
          <w:sz w:val="28"/>
          <w:szCs w:val="28"/>
        </w:rPr>
        <w:softHyphen/>
        <w:t>тия и термины, обсуждаемые и используемые в реферате, должны быть точно определены, законы - точно сформулиро</w:t>
      </w:r>
      <w:r>
        <w:rPr>
          <w:rFonts w:ascii="Times New Roman CYR" w:hAnsi="Times New Roman CYR" w:cs="Times New Roman CYR"/>
          <w:sz w:val="28"/>
          <w:szCs w:val="28"/>
        </w:rPr>
        <w:softHyphen/>
        <w:t>ваны, все рассуждения должны вестись в стиле научной дис</w:t>
      </w:r>
      <w:r>
        <w:rPr>
          <w:rFonts w:ascii="Times New Roman CYR" w:hAnsi="Times New Roman CYR" w:cs="Times New Roman CYR"/>
          <w:sz w:val="28"/>
          <w:szCs w:val="28"/>
        </w:rPr>
        <w:softHyphen/>
        <w:t>куссии, быть обоснованными, опираться на факты и логически связанно вести к определенным выводам. В заключении уместно дать краткое резюме, итоги и выводы проделанной работы, подчеркнуть ее философско-методологическое и социально-практическое значение, охарактеризовать направления и перспективы дальнейших исследований.</w:t>
      </w:r>
    </w:p>
    <w:p w:rsidR="00581879" w:rsidRDefault="00581879" w:rsidP="005818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Особое внимание следует уделить изучению, использова</w:t>
      </w:r>
      <w:r>
        <w:rPr>
          <w:rFonts w:ascii="Times New Roman CYR" w:hAnsi="Times New Roman CYR" w:cs="Times New Roman CYR"/>
          <w:sz w:val="28"/>
          <w:szCs w:val="28"/>
        </w:rPr>
        <w:softHyphen/>
        <w:t>нию, цитированию литературы, точному указанию литератур</w:t>
      </w:r>
      <w:r>
        <w:rPr>
          <w:rFonts w:ascii="Times New Roman CYR" w:hAnsi="Times New Roman CYR" w:cs="Times New Roman CYR"/>
          <w:sz w:val="28"/>
          <w:szCs w:val="28"/>
        </w:rPr>
        <w:softHyphen/>
        <w:t>ных ссылок. Может быть использована, разумеется, любая от</w:t>
      </w:r>
      <w:r>
        <w:rPr>
          <w:rFonts w:ascii="Times New Roman CYR" w:hAnsi="Times New Roman CYR" w:cs="Times New Roman CYR"/>
          <w:sz w:val="28"/>
          <w:szCs w:val="28"/>
        </w:rPr>
        <w:softHyphen/>
        <w:t>носящаяся к теме литература, но желательно изучение и включение в список публикаций последних двух-трех лет. Цитирование должно быть точным с обязательным указанием страницы, на которой находится цитата (или отрезок текста, на которой дается ссылка); если ссылка дается на источ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ник в целом, то страницы могут не указываться,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но в любом случае должны быть точно и полно указаны выходные данные используемого источника: автор, заглавие, место, издательство, год издания книги; автор, заглавие статьи, год, номер журнала, газеты, сборника и т.п. Целесообразно список литературы формировать по ходу встречаемости ссылок в тексте реферата, указывая в тексте в скобках номер ссылки и цити</w:t>
      </w:r>
      <w:r>
        <w:rPr>
          <w:rFonts w:ascii="Times New Roman CYR" w:hAnsi="Times New Roman CYR" w:cs="Times New Roman CYR"/>
          <w:sz w:val="28"/>
          <w:szCs w:val="28"/>
        </w:rPr>
        <w:softHyphen/>
        <w:t>руемую страницу, а в списке литературы под этим номером полностью и точно указать источник. Например. «Мы все больше специализируемся не по наукам, а по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проблемам», - </w:t>
      </w:r>
      <w:r>
        <w:rPr>
          <w:rFonts w:ascii="Times New Roman CYR" w:hAnsi="Times New Roman CYR" w:cs="Times New Roman CYR"/>
          <w:sz w:val="28"/>
          <w:szCs w:val="28"/>
        </w:rPr>
        <w:t>отмечает В.И. Вернадский (I, с. 67). «Мои выводы более утеши</w:t>
      </w:r>
      <w:r>
        <w:rPr>
          <w:rFonts w:ascii="Times New Roman CYR" w:hAnsi="Times New Roman CYR" w:cs="Times New Roman CYR"/>
          <w:sz w:val="28"/>
          <w:szCs w:val="28"/>
        </w:rPr>
        <w:softHyphen/>
        <w:t>тельны, чем обещания самых жизнерадостных религий... Я - чистейший материалист. Ничего не признаю, кроме материи» (2, с. 264). Ю.А. Урманцев пишет, что «человек как духовная личность (субъект) при</w:t>
      </w:r>
      <w:r>
        <w:rPr>
          <w:rFonts w:ascii="Times New Roman CYR" w:hAnsi="Times New Roman CYR" w:cs="Times New Roman CYR"/>
          <w:sz w:val="28"/>
          <w:szCs w:val="28"/>
        </w:rPr>
        <w:softHyphen/>
        <w:t>надлежит субъективной реальности, как функционирующая материальная система - объективной реальности» (3, с. 93). В 1917 г. Эйнштейн писал Вейлю: «Вопрос о том, следует ли рассматривать электрон как особую точку и допустимы ли во</w:t>
      </w:r>
      <w:r>
        <w:rPr>
          <w:rFonts w:ascii="Times New Roman CYR" w:hAnsi="Times New Roman CYR" w:cs="Times New Roman CYR"/>
          <w:sz w:val="28"/>
          <w:szCs w:val="28"/>
        </w:rPr>
        <w:softHyphen/>
        <w:t>обще в физическом описании истинные сингулярности, пред</w:t>
      </w:r>
      <w:r>
        <w:rPr>
          <w:rFonts w:ascii="Times New Roman CYR" w:hAnsi="Times New Roman CYR" w:cs="Times New Roman CYR"/>
          <w:sz w:val="28"/>
          <w:szCs w:val="28"/>
        </w:rPr>
        <w:softHyphen/>
        <w:t>ставляет огромный интерес» (Цит. по: 4, с. 280). В списке лите</w:t>
      </w:r>
      <w:r>
        <w:rPr>
          <w:rFonts w:ascii="Times New Roman CYR" w:hAnsi="Times New Roman CYR" w:cs="Times New Roman CYR"/>
          <w:sz w:val="28"/>
          <w:szCs w:val="28"/>
        </w:rPr>
        <w:softHyphen/>
        <w:t>ратуры соответствующие источники указываются следующим образом:</w:t>
      </w:r>
    </w:p>
    <w:p w:rsidR="00581879" w:rsidRDefault="00581879" w:rsidP="005818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1879" w:rsidRDefault="00581879" w:rsidP="00581879">
      <w:pPr>
        <w:widowControl w:val="0"/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ЛИТЕРАТУРА</w:t>
      </w:r>
    </w:p>
    <w:p w:rsidR="00581879" w:rsidRDefault="00581879" w:rsidP="00581879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spacing w:before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Вернадский В. И. Научная мысль как планетное явле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ние. - М.: Наука, </w:t>
      </w:r>
    </w:p>
    <w:p w:rsidR="00581879" w:rsidRDefault="00581879" w:rsidP="00581879">
      <w:pPr>
        <w:widowControl w:val="0"/>
        <w:autoSpaceDE w:val="0"/>
        <w:autoSpaceDN w:val="0"/>
        <w:adjustRightInd w:val="0"/>
        <w:spacing w:before="4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1991.</w:t>
      </w:r>
    </w:p>
    <w:p w:rsidR="00581879" w:rsidRDefault="00581879" w:rsidP="00581879">
      <w:pPr>
        <w:widowControl w:val="0"/>
        <w:numPr>
          <w:ilvl w:val="0"/>
          <w:numId w:val="2"/>
        </w:numPr>
        <w:tabs>
          <w:tab w:val="left" w:pos="78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Циолковский К.Э. Монизм Вселенной // Русский космизм. - М.: </w:t>
      </w:r>
    </w:p>
    <w:p w:rsidR="00581879" w:rsidRDefault="00581879" w:rsidP="00581879">
      <w:pPr>
        <w:widowControl w:val="0"/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Педагогика-Пресс, 1993.</w:t>
      </w:r>
    </w:p>
    <w:p w:rsidR="00581879" w:rsidRDefault="00581879" w:rsidP="00581879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Урманцев Ю.А. О формах постижения бытия //  Вопросы философии. - 1993. - № 4.</w:t>
      </w:r>
    </w:p>
    <w:p w:rsidR="00581879" w:rsidRDefault="00581879" w:rsidP="00581879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Пайс А. Научная деятельность и жизнь А. Эйнштейна. - М.: Наука, 1989. </w:t>
      </w:r>
    </w:p>
    <w:p w:rsidR="00581879" w:rsidRDefault="00581879" w:rsidP="005818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1879" w:rsidRDefault="00581879" w:rsidP="005818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 и научный уровень реферата, его оценка преподавателем-рецензентом (которая может быть выражена или не выражена формально, в баллах) принимается во внимание на экзамене. Члены экзаменационной комиссии могут на экзамене задавать вопросы по содержанию реферата, по использованной при его написании литературе. В отдельных случаях при высоком качестве реферата и систематической, активной работе аспиранта (соискателя) в группе в течение всего учебного года  защита реферата может стать основным содержанием экзамена.</w:t>
      </w:r>
    </w:p>
    <w:p w:rsidR="00581879" w:rsidRDefault="00581879" w:rsidP="005818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1879" w:rsidRDefault="00581879" w:rsidP="005818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1879" w:rsidRDefault="00581879" w:rsidP="005818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81879" w:rsidRDefault="00581879" w:rsidP="005818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2385" w:rsidRDefault="00F12385"/>
    <w:p w:rsidR="003849BF" w:rsidRDefault="003849BF"/>
    <w:p w:rsidR="003849BF" w:rsidRDefault="003849BF"/>
    <w:p w:rsidR="003849BF" w:rsidRDefault="003849BF"/>
    <w:p w:rsidR="003849BF" w:rsidRDefault="003849BF"/>
    <w:p w:rsidR="003849BF" w:rsidRDefault="003849BF"/>
    <w:p w:rsidR="00552F94" w:rsidRDefault="00B8194C" w:rsidP="00552F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552F94">
        <w:rPr>
          <w:b/>
          <w:sz w:val="28"/>
          <w:szCs w:val="28"/>
        </w:rPr>
        <w:t xml:space="preserve">емы </w:t>
      </w:r>
      <w:r>
        <w:rPr>
          <w:b/>
          <w:sz w:val="28"/>
          <w:szCs w:val="28"/>
        </w:rPr>
        <w:t>рефератов</w:t>
      </w:r>
      <w:bookmarkStart w:id="0" w:name="_GoBack"/>
      <w:bookmarkEnd w:id="0"/>
    </w:p>
    <w:p w:rsidR="00552F94" w:rsidRDefault="00552F94" w:rsidP="00552F94">
      <w:pPr>
        <w:rPr>
          <w:b/>
          <w:sz w:val="28"/>
          <w:szCs w:val="28"/>
        </w:rPr>
      </w:pP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Философские проблемы технического знания.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проблемы современной философии техники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Проблема ИИ в философии и науке.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Проблема соотношения научной и инженерной деятельности.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Роль техники в решении современных экологических проблем.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Синергетика в технических науках.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 и техника: проблема безопасности.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Проблема рациональности в философии и науке.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Фундаментальные и прикладные разработки в технических науках.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Методы моделирования: историко-научный аспект.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Синергетическая и кибернетическая модели в техническом знании.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Научно-технический прогресс: гуманитарные аспекты.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Современные химические технологии: экологический аспект.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Проблема эффективности компьютерных моделей в техническом знании.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Нанотехнологии</w:t>
      </w:r>
      <w:proofErr w:type="spellEnd"/>
      <w:r>
        <w:rPr>
          <w:sz w:val="28"/>
          <w:szCs w:val="28"/>
        </w:rPr>
        <w:t>: научный и философский аспекты.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Роль математики в развитии технического знания.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Проблема реальности в философии и информатике.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Интернет как метафора глобального мозга.</w:t>
      </w:r>
    </w:p>
    <w:p w:rsidR="00552F94" w:rsidRDefault="00552F94" w:rsidP="00F5227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Концепции информационного общества.</w:t>
      </w:r>
    </w:p>
    <w:p w:rsidR="00552F94" w:rsidRDefault="00552F94" w:rsidP="00F52270">
      <w:pPr>
        <w:pStyle w:val="a3"/>
        <w:spacing w:line="360" w:lineRule="auto"/>
        <w:rPr>
          <w:b/>
          <w:sz w:val="28"/>
          <w:szCs w:val="28"/>
        </w:rPr>
      </w:pPr>
    </w:p>
    <w:p w:rsidR="00552F94" w:rsidRDefault="00552F94" w:rsidP="00F52270">
      <w:pPr>
        <w:spacing w:line="360" w:lineRule="auto"/>
      </w:pPr>
    </w:p>
    <w:p w:rsidR="00A87F73" w:rsidRDefault="00A87F73" w:rsidP="00F52270">
      <w:pPr>
        <w:spacing w:line="360" w:lineRule="auto"/>
      </w:pPr>
    </w:p>
    <w:sectPr w:rsidR="00A8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C4A"/>
    <w:multiLevelType w:val="hybridMultilevel"/>
    <w:tmpl w:val="1776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28A4"/>
    <w:multiLevelType w:val="hybridMultilevel"/>
    <w:tmpl w:val="AD3AF872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C0A7E"/>
    <w:multiLevelType w:val="hybridMultilevel"/>
    <w:tmpl w:val="48A4243E"/>
    <w:lvl w:ilvl="0" w:tplc="BC0832D4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02696"/>
    <w:multiLevelType w:val="singleLevel"/>
    <w:tmpl w:val="FEB4C340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74EB1E89"/>
    <w:multiLevelType w:val="singleLevel"/>
    <w:tmpl w:val="FEB4C34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765F76B1"/>
    <w:multiLevelType w:val="singleLevel"/>
    <w:tmpl w:val="FEB4C340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80"/>
    <w:rsid w:val="00070580"/>
    <w:rsid w:val="003849BF"/>
    <w:rsid w:val="00552F94"/>
    <w:rsid w:val="00581879"/>
    <w:rsid w:val="00971C8E"/>
    <w:rsid w:val="00A87F73"/>
    <w:rsid w:val="00B8194C"/>
    <w:rsid w:val="00F12385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2013-02-27T14:34:00Z</dcterms:created>
  <dcterms:modified xsi:type="dcterms:W3CDTF">2015-09-22T11:03:00Z</dcterms:modified>
</cp:coreProperties>
</file>